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951A5" w14:textId="264D03D3" w:rsidR="00951882" w:rsidRDefault="00516C82">
      <w:pPr>
        <w:pStyle w:val="BodyText"/>
        <w:ind w:left="300"/>
        <w:rPr>
          <w:rFonts w:ascii="Times New Roman"/>
          <w:sz w:val="20"/>
        </w:rPr>
      </w:pPr>
      <w:r>
        <w:rPr>
          <w:noProof/>
        </w:rPr>
        <w:drawing>
          <wp:inline distT="0" distB="0" distL="0" distR="0" wp14:anchorId="739881ED" wp14:editId="3CBD5DDB">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p w14:paraId="134DF612" w14:textId="77777777" w:rsidR="00951882" w:rsidRDefault="00951882">
      <w:pPr>
        <w:pStyle w:val="BodyText"/>
        <w:rPr>
          <w:rFonts w:ascii="Times New Roman"/>
          <w:sz w:val="20"/>
        </w:rPr>
      </w:pPr>
    </w:p>
    <w:p w14:paraId="30E5BCD3" w14:textId="77777777" w:rsidR="00951882" w:rsidRDefault="00951882">
      <w:pPr>
        <w:pStyle w:val="BodyText"/>
        <w:spacing w:before="3"/>
        <w:rPr>
          <w:rFonts w:ascii="Times New Roman"/>
          <w:sz w:val="22"/>
        </w:rPr>
      </w:pPr>
    </w:p>
    <w:tbl>
      <w:tblPr>
        <w:tblW w:w="0" w:type="auto"/>
        <w:tblInd w:w="199" w:type="dxa"/>
        <w:tblLayout w:type="fixed"/>
        <w:tblCellMar>
          <w:left w:w="0" w:type="dxa"/>
          <w:right w:w="0" w:type="dxa"/>
        </w:tblCellMar>
        <w:tblLook w:val="01E0" w:firstRow="1" w:lastRow="1" w:firstColumn="1" w:lastColumn="1" w:noHBand="0" w:noVBand="0"/>
      </w:tblPr>
      <w:tblGrid>
        <w:gridCol w:w="3348"/>
        <w:gridCol w:w="4983"/>
      </w:tblGrid>
      <w:tr w:rsidR="00951882" w14:paraId="4E7B1C49" w14:textId="77777777">
        <w:trPr>
          <w:trHeight w:val="1799"/>
        </w:trPr>
        <w:tc>
          <w:tcPr>
            <w:tcW w:w="3348" w:type="dxa"/>
            <w:tcBorders>
              <w:bottom w:val="single" w:sz="18" w:space="0" w:color="000000"/>
            </w:tcBorders>
          </w:tcPr>
          <w:p w14:paraId="7889AB8A" w14:textId="77777777" w:rsidR="00951882" w:rsidRDefault="0046316A">
            <w:pPr>
              <w:pStyle w:val="TableParagraph"/>
              <w:ind w:left="108"/>
              <w:rPr>
                <w:rFonts w:ascii="Arial Black"/>
                <w:sz w:val="36"/>
              </w:rPr>
            </w:pPr>
            <w:bookmarkStart w:id="0" w:name="Report_for:"/>
            <w:bookmarkEnd w:id="0"/>
            <w:r>
              <w:rPr>
                <w:rFonts w:ascii="Arial Black"/>
                <w:sz w:val="36"/>
              </w:rPr>
              <w:t>Report for:</w:t>
            </w:r>
          </w:p>
        </w:tc>
        <w:tc>
          <w:tcPr>
            <w:tcW w:w="4983" w:type="dxa"/>
            <w:tcBorders>
              <w:bottom w:val="single" w:sz="18" w:space="0" w:color="000000"/>
            </w:tcBorders>
          </w:tcPr>
          <w:p w14:paraId="5486B283" w14:textId="77777777" w:rsidR="00951882" w:rsidRDefault="0046316A">
            <w:pPr>
              <w:pStyle w:val="TableParagraph"/>
              <w:ind w:right="461"/>
              <w:rPr>
                <w:rFonts w:ascii="Arial Black"/>
                <w:sz w:val="36"/>
              </w:rPr>
            </w:pPr>
            <w:bookmarkStart w:id="1" w:name="Governance,_Audit,_Risk_Management_and_S"/>
            <w:bookmarkEnd w:id="1"/>
            <w:r>
              <w:rPr>
                <w:rFonts w:ascii="Arial Black"/>
                <w:sz w:val="36"/>
              </w:rPr>
              <w:t>Governance, Audit, Risk Management and Standards Committee</w:t>
            </w:r>
          </w:p>
        </w:tc>
      </w:tr>
      <w:tr w:rsidR="00951882" w14:paraId="52E28142" w14:textId="77777777">
        <w:trPr>
          <w:trHeight w:val="986"/>
        </w:trPr>
        <w:tc>
          <w:tcPr>
            <w:tcW w:w="3348" w:type="dxa"/>
            <w:tcBorders>
              <w:top w:val="single" w:sz="18" w:space="0" w:color="000000"/>
            </w:tcBorders>
          </w:tcPr>
          <w:p w14:paraId="63F90E69" w14:textId="77777777" w:rsidR="00951882" w:rsidRDefault="00951882">
            <w:pPr>
              <w:pStyle w:val="TableParagraph"/>
              <w:spacing w:before="3"/>
              <w:ind w:left="0"/>
              <w:rPr>
                <w:rFonts w:ascii="Times New Roman"/>
                <w:sz w:val="34"/>
              </w:rPr>
            </w:pPr>
          </w:p>
          <w:p w14:paraId="64AAAF94" w14:textId="77777777" w:rsidR="00951882" w:rsidRDefault="0046316A">
            <w:pPr>
              <w:pStyle w:val="TableParagraph"/>
              <w:ind w:left="108"/>
              <w:rPr>
                <w:rFonts w:ascii="Arial Black"/>
                <w:sz w:val="28"/>
              </w:rPr>
            </w:pPr>
            <w:r>
              <w:rPr>
                <w:rFonts w:ascii="Arial Black"/>
                <w:sz w:val="28"/>
              </w:rPr>
              <w:t>Date of Meeting:</w:t>
            </w:r>
          </w:p>
        </w:tc>
        <w:tc>
          <w:tcPr>
            <w:tcW w:w="4983" w:type="dxa"/>
            <w:tcBorders>
              <w:top w:val="single" w:sz="18" w:space="0" w:color="000000"/>
            </w:tcBorders>
          </w:tcPr>
          <w:p w14:paraId="031EAE04" w14:textId="77777777" w:rsidR="00951882" w:rsidRDefault="00951882">
            <w:pPr>
              <w:pStyle w:val="TableParagraph"/>
              <w:spacing w:before="9"/>
              <w:ind w:left="0"/>
              <w:rPr>
                <w:rFonts w:ascii="Times New Roman"/>
                <w:sz w:val="27"/>
              </w:rPr>
            </w:pPr>
          </w:p>
          <w:p w14:paraId="4B067C7C" w14:textId="5A5640AD" w:rsidR="00951882" w:rsidRDefault="00F174A1">
            <w:pPr>
              <w:pStyle w:val="TableParagraph"/>
              <w:rPr>
                <w:sz w:val="28"/>
              </w:rPr>
            </w:pPr>
            <w:r>
              <w:rPr>
                <w:sz w:val="28"/>
              </w:rPr>
              <w:t>19</w:t>
            </w:r>
            <w:r w:rsidRPr="00F174A1">
              <w:rPr>
                <w:sz w:val="28"/>
                <w:vertAlign w:val="superscript"/>
              </w:rPr>
              <w:t>th</w:t>
            </w:r>
            <w:r>
              <w:rPr>
                <w:sz w:val="28"/>
              </w:rPr>
              <w:t xml:space="preserve"> </w:t>
            </w:r>
            <w:proofErr w:type="gramStart"/>
            <w:r>
              <w:rPr>
                <w:sz w:val="28"/>
              </w:rPr>
              <w:t xml:space="preserve">March </w:t>
            </w:r>
            <w:r w:rsidR="0046316A">
              <w:rPr>
                <w:sz w:val="28"/>
              </w:rPr>
              <w:t xml:space="preserve"> 202</w:t>
            </w:r>
            <w:r w:rsidR="00CB1613">
              <w:rPr>
                <w:sz w:val="28"/>
              </w:rPr>
              <w:t>4</w:t>
            </w:r>
            <w:proofErr w:type="gramEnd"/>
          </w:p>
        </w:tc>
      </w:tr>
      <w:tr w:rsidR="00951882" w14:paraId="287B97B4" w14:textId="77777777">
        <w:trPr>
          <w:trHeight w:val="789"/>
        </w:trPr>
        <w:tc>
          <w:tcPr>
            <w:tcW w:w="3348" w:type="dxa"/>
          </w:tcPr>
          <w:p w14:paraId="56859425" w14:textId="77777777" w:rsidR="00951882" w:rsidRDefault="0046316A">
            <w:pPr>
              <w:pStyle w:val="TableParagraph"/>
              <w:spacing w:before="197"/>
              <w:ind w:left="108"/>
              <w:rPr>
                <w:rFonts w:ascii="Arial Black"/>
                <w:sz w:val="28"/>
              </w:rPr>
            </w:pPr>
            <w:r>
              <w:rPr>
                <w:rFonts w:ascii="Arial Black"/>
                <w:sz w:val="28"/>
              </w:rPr>
              <w:t>Subject:</w:t>
            </w:r>
          </w:p>
        </w:tc>
        <w:tc>
          <w:tcPr>
            <w:tcW w:w="4983" w:type="dxa"/>
          </w:tcPr>
          <w:p w14:paraId="5D91411B" w14:textId="77777777" w:rsidR="00951882" w:rsidRDefault="0046316A">
            <w:pPr>
              <w:pStyle w:val="TableParagraph"/>
              <w:spacing w:before="195"/>
              <w:rPr>
                <w:sz w:val="28"/>
              </w:rPr>
            </w:pPr>
            <w:r>
              <w:rPr>
                <w:sz w:val="28"/>
              </w:rPr>
              <w:t>Application for Dispensation</w:t>
            </w:r>
          </w:p>
        </w:tc>
      </w:tr>
      <w:tr w:rsidR="00951882" w14:paraId="5D0728E8" w14:textId="77777777">
        <w:trPr>
          <w:trHeight w:val="1324"/>
        </w:trPr>
        <w:tc>
          <w:tcPr>
            <w:tcW w:w="3348" w:type="dxa"/>
          </w:tcPr>
          <w:p w14:paraId="2877A7A3" w14:textId="77777777" w:rsidR="00951882" w:rsidRDefault="0046316A">
            <w:pPr>
              <w:pStyle w:val="TableParagraph"/>
              <w:spacing w:before="197"/>
              <w:ind w:left="108"/>
              <w:rPr>
                <w:rFonts w:ascii="Arial Black"/>
                <w:sz w:val="28"/>
              </w:rPr>
            </w:pPr>
            <w:r>
              <w:rPr>
                <w:rFonts w:ascii="Arial Black"/>
                <w:sz w:val="28"/>
              </w:rPr>
              <w:t>Responsible Officer:</w:t>
            </w:r>
          </w:p>
        </w:tc>
        <w:tc>
          <w:tcPr>
            <w:tcW w:w="4983" w:type="dxa"/>
          </w:tcPr>
          <w:p w14:paraId="133E61BA" w14:textId="77777777" w:rsidR="00CB1613" w:rsidRDefault="00CB1613">
            <w:pPr>
              <w:pStyle w:val="TableParagraph"/>
              <w:spacing w:line="242" w:lineRule="auto"/>
              <w:ind w:right="899"/>
              <w:rPr>
                <w:sz w:val="28"/>
              </w:rPr>
            </w:pPr>
            <w:r>
              <w:rPr>
                <w:sz w:val="28"/>
              </w:rPr>
              <w:t>Jessica Farmer</w:t>
            </w:r>
          </w:p>
          <w:p w14:paraId="343E81D2" w14:textId="58170B35" w:rsidR="00951882" w:rsidRDefault="00CB1613">
            <w:pPr>
              <w:pStyle w:val="TableParagraph"/>
              <w:spacing w:line="242" w:lineRule="auto"/>
              <w:ind w:right="899"/>
              <w:rPr>
                <w:sz w:val="28"/>
              </w:rPr>
            </w:pPr>
            <w:r>
              <w:rPr>
                <w:sz w:val="28"/>
              </w:rPr>
              <w:t xml:space="preserve">Acting </w:t>
            </w:r>
            <w:r w:rsidR="0046316A">
              <w:rPr>
                <w:sz w:val="28"/>
              </w:rPr>
              <w:t>Director of Legal &amp; Governance Services</w:t>
            </w:r>
          </w:p>
        </w:tc>
      </w:tr>
      <w:tr w:rsidR="00951882" w14:paraId="1697EE91" w14:textId="77777777">
        <w:trPr>
          <w:trHeight w:val="918"/>
        </w:trPr>
        <w:tc>
          <w:tcPr>
            <w:tcW w:w="3348" w:type="dxa"/>
          </w:tcPr>
          <w:p w14:paraId="76B94164" w14:textId="77777777" w:rsidR="00951882" w:rsidRDefault="0046316A">
            <w:pPr>
              <w:pStyle w:val="TableParagraph"/>
              <w:spacing w:before="162"/>
              <w:ind w:left="108"/>
              <w:rPr>
                <w:rFonts w:ascii="Arial Black"/>
                <w:sz w:val="28"/>
              </w:rPr>
            </w:pPr>
            <w:r>
              <w:rPr>
                <w:rFonts w:ascii="Arial Black"/>
                <w:sz w:val="28"/>
              </w:rPr>
              <w:t>Exempt:</w:t>
            </w:r>
          </w:p>
        </w:tc>
        <w:tc>
          <w:tcPr>
            <w:tcW w:w="4983" w:type="dxa"/>
          </w:tcPr>
          <w:p w14:paraId="3C0E95DC" w14:textId="77777777" w:rsidR="00951882" w:rsidRDefault="0046316A">
            <w:pPr>
              <w:pStyle w:val="TableParagraph"/>
              <w:spacing w:before="159"/>
              <w:rPr>
                <w:sz w:val="28"/>
              </w:rPr>
            </w:pPr>
            <w:r>
              <w:rPr>
                <w:sz w:val="28"/>
              </w:rPr>
              <w:t>No</w:t>
            </w:r>
          </w:p>
        </w:tc>
      </w:tr>
      <w:tr w:rsidR="00951882" w14:paraId="0B7A44DA" w14:textId="77777777">
        <w:trPr>
          <w:trHeight w:val="1219"/>
        </w:trPr>
        <w:tc>
          <w:tcPr>
            <w:tcW w:w="3348" w:type="dxa"/>
            <w:tcBorders>
              <w:bottom w:val="single" w:sz="4" w:space="0" w:color="000000"/>
            </w:tcBorders>
          </w:tcPr>
          <w:p w14:paraId="5DA7FBC1" w14:textId="77777777" w:rsidR="00951882" w:rsidRDefault="00951882">
            <w:pPr>
              <w:pStyle w:val="TableParagraph"/>
              <w:spacing w:before="1"/>
              <w:ind w:left="0"/>
              <w:rPr>
                <w:rFonts w:ascii="Times New Roman"/>
                <w:sz w:val="37"/>
              </w:rPr>
            </w:pPr>
          </w:p>
          <w:p w14:paraId="1071F51B" w14:textId="77777777" w:rsidR="00951882" w:rsidRDefault="0046316A">
            <w:pPr>
              <w:pStyle w:val="TableParagraph"/>
              <w:ind w:left="108"/>
              <w:rPr>
                <w:rFonts w:ascii="Arial Black"/>
                <w:sz w:val="28"/>
              </w:rPr>
            </w:pPr>
            <w:r>
              <w:rPr>
                <w:rFonts w:ascii="Arial Black"/>
                <w:sz w:val="28"/>
              </w:rPr>
              <w:t>Enclosures:</w:t>
            </w:r>
          </w:p>
        </w:tc>
        <w:tc>
          <w:tcPr>
            <w:tcW w:w="4983" w:type="dxa"/>
            <w:tcBorders>
              <w:bottom w:val="single" w:sz="4" w:space="0" w:color="000000"/>
            </w:tcBorders>
          </w:tcPr>
          <w:p w14:paraId="7ED4C60D" w14:textId="77777777" w:rsidR="00951882" w:rsidRDefault="00951882">
            <w:pPr>
              <w:pStyle w:val="TableParagraph"/>
              <w:spacing w:before="7"/>
              <w:ind w:left="0"/>
              <w:rPr>
                <w:rFonts w:ascii="Times New Roman"/>
                <w:sz w:val="30"/>
              </w:rPr>
            </w:pPr>
          </w:p>
          <w:p w14:paraId="43BED83C" w14:textId="5041901B" w:rsidR="00951882" w:rsidRDefault="00AB6A2F">
            <w:pPr>
              <w:pStyle w:val="TableParagraph"/>
              <w:rPr>
                <w:sz w:val="28"/>
              </w:rPr>
            </w:pPr>
            <w:r>
              <w:rPr>
                <w:sz w:val="28"/>
              </w:rPr>
              <w:t>None</w:t>
            </w:r>
          </w:p>
        </w:tc>
      </w:tr>
    </w:tbl>
    <w:p w14:paraId="6CB00482" w14:textId="77777777" w:rsidR="00951882" w:rsidRDefault="00951882">
      <w:pPr>
        <w:pStyle w:val="BodyText"/>
        <w:rPr>
          <w:rFonts w:ascii="Times New Roman"/>
          <w:sz w:val="20"/>
        </w:rPr>
      </w:pPr>
    </w:p>
    <w:p w14:paraId="37A9DA9A" w14:textId="77777777" w:rsidR="00951882" w:rsidRDefault="00951882">
      <w:pPr>
        <w:pStyle w:val="BodyText"/>
        <w:rPr>
          <w:rFonts w:ascii="Times New Roman"/>
          <w:sz w:val="20"/>
        </w:rPr>
      </w:pPr>
    </w:p>
    <w:p w14:paraId="0A3404AA" w14:textId="77777777" w:rsidR="00951882" w:rsidRDefault="00951882">
      <w:pPr>
        <w:pStyle w:val="BodyText"/>
        <w:spacing w:before="10" w:after="1"/>
        <w:rPr>
          <w:rFonts w:ascii="Times New Roman"/>
          <w:sz w:val="14"/>
        </w:rPr>
      </w:pPr>
    </w:p>
    <w:tbl>
      <w:tblPr>
        <w:tblW w:w="0" w:type="auto"/>
        <w:tblInd w:w="107" w:type="dxa"/>
        <w:tblLayout w:type="fixed"/>
        <w:tblCellMar>
          <w:left w:w="0" w:type="dxa"/>
          <w:right w:w="0" w:type="dxa"/>
        </w:tblCellMar>
        <w:tblLook w:val="01E0" w:firstRow="1" w:lastRow="1" w:firstColumn="1" w:lastColumn="1" w:noHBand="0" w:noVBand="0"/>
      </w:tblPr>
      <w:tblGrid>
        <w:gridCol w:w="8418"/>
      </w:tblGrid>
      <w:tr w:rsidR="00951882" w14:paraId="089E2A46" w14:textId="77777777">
        <w:trPr>
          <w:trHeight w:val="518"/>
        </w:trPr>
        <w:tc>
          <w:tcPr>
            <w:tcW w:w="8418" w:type="dxa"/>
          </w:tcPr>
          <w:p w14:paraId="08A3A283" w14:textId="77777777" w:rsidR="00951882" w:rsidRDefault="0046316A">
            <w:pPr>
              <w:pStyle w:val="TableParagraph"/>
              <w:spacing w:before="1"/>
              <w:ind w:left="200"/>
              <w:rPr>
                <w:rFonts w:ascii="Arial Black" w:hAnsi="Arial Black"/>
                <w:sz w:val="28"/>
              </w:rPr>
            </w:pPr>
            <w:bookmarkStart w:id="2" w:name="Section_1_–_Summary_and_Recommendations"/>
            <w:bookmarkEnd w:id="2"/>
            <w:r>
              <w:rPr>
                <w:rFonts w:ascii="Arial Black" w:hAnsi="Arial Black"/>
                <w:sz w:val="28"/>
              </w:rPr>
              <w:t>Section 1 – Summary and Recommendations</w:t>
            </w:r>
          </w:p>
        </w:tc>
      </w:tr>
      <w:tr w:rsidR="00951882" w14:paraId="44286705" w14:textId="77777777">
        <w:trPr>
          <w:trHeight w:val="1494"/>
        </w:trPr>
        <w:tc>
          <w:tcPr>
            <w:tcW w:w="8418" w:type="dxa"/>
          </w:tcPr>
          <w:p w14:paraId="36C87920" w14:textId="07ADAA24" w:rsidR="00951882" w:rsidRDefault="0046316A">
            <w:pPr>
              <w:pStyle w:val="TableParagraph"/>
              <w:spacing w:before="115"/>
              <w:ind w:left="200" w:right="180"/>
              <w:rPr>
                <w:sz w:val="24"/>
              </w:rPr>
            </w:pPr>
            <w:r>
              <w:rPr>
                <w:sz w:val="24"/>
              </w:rPr>
              <w:t>This report presents request</w:t>
            </w:r>
            <w:r w:rsidR="00CB1613">
              <w:rPr>
                <w:sz w:val="24"/>
              </w:rPr>
              <w:t>s</w:t>
            </w:r>
            <w:r>
              <w:rPr>
                <w:sz w:val="24"/>
              </w:rPr>
              <w:t xml:space="preserve"> for dispensation</w:t>
            </w:r>
            <w:r w:rsidR="00CB1613">
              <w:rPr>
                <w:sz w:val="24"/>
              </w:rPr>
              <w:t>s</w:t>
            </w:r>
            <w:r>
              <w:rPr>
                <w:sz w:val="24"/>
              </w:rPr>
              <w:t xml:space="preserve"> from</w:t>
            </w:r>
            <w:r w:rsidR="007C0153">
              <w:rPr>
                <w:sz w:val="24"/>
              </w:rPr>
              <w:t xml:space="preserve"> two</w:t>
            </w:r>
            <w:r>
              <w:rPr>
                <w:sz w:val="24"/>
              </w:rPr>
              <w:t xml:space="preserve"> Councillor</w:t>
            </w:r>
            <w:r w:rsidR="002C28BD">
              <w:rPr>
                <w:sz w:val="24"/>
              </w:rPr>
              <w:t>s</w:t>
            </w:r>
            <w:r>
              <w:rPr>
                <w:sz w:val="24"/>
              </w:rPr>
              <w:t xml:space="preserve"> under s33 of the Localism Act 2011 and requests that the Committee determine it.</w:t>
            </w:r>
          </w:p>
          <w:p w14:paraId="43DB9538" w14:textId="77777777" w:rsidR="00951882" w:rsidRDefault="00951882">
            <w:pPr>
              <w:pStyle w:val="TableParagraph"/>
              <w:spacing w:before="11"/>
              <w:ind w:left="0"/>
              <w:rPr>
                <w:rFonts w:ascii="Times New Roman"/>
                <w:sz w:val="23"/>
              </w:rPr>
            </w:pPr>
          </w:p>
          <w:p w14:paraId="59F861F4" w14:textId="77777777" w:rsidR="00951882" w:rsidRDefault="0046316A">
            <w:pPr>
              <w:pStyle w:val="TableParagraph"/>
              <w:ind w:left="200"/>
              <w:rPr>
                <w:b/>
                <w:sz w:val="24"/>
              </w:rPr>
            </w:pPr>
            <w:r>
              <w:rPr>
                <w:b/>
                <w:sz w:val="24"/>
              </w:rPr>
              <w:t>Recommendations:</w:t>
            </w:r>
          </w:p>
          <w:p w14:paraId="28D2BAF6" w14:textId="77777777" w:rsidR="003B4BC0" w:rsidRDefault="003B4BC0">
            <w:pPr>
              <w:pStyle w:val="TableParagraph"/>
              <w:ind w:left="200"/>
              <w:rPr>
                <w:b/>
                <w:sz w:val="24"/>
              </w:rPr>
            </w:pPr>
          </w:p>
          <w:p w14:paraId="375B49BB" w14:textId="5452E9BF" w:rsidR="00951882" w:rsidRDefault="0046316A">
            <w:pPr>
              <w:pStyle w:val="TableParagraph"/>
              <w:spacing w:line="256" w:lineRule="exact"/>
              <w:ind w:left="200"/>
              <w:rPr>
                <w:sz w:val="24"/>
              </w:rPr>
            </w:pPr>
            <w:r>
              <w:rPr>
                <w:sz w:val="24"/>
              </w:rPr>
              <w:t>The Committee is requested to determine the request</w:t>
            </w:r>
            <w:r w:rsidR="002C28BD">
              <w:rPr>
                <w:sz w:val="24"/>
              </w:rPr>
              <w:t>s</w:t>
            </w:r>
            <w:r>
              <w:rPr>
                <w:sz w:val="24"/>
              </w:rPr>
              <w:t xml:space="preserve"> for a dispensation</w:t>
            </w:r>
            <w:r w:rsidR="00AB6A2F">
              <w:rPr>
                <w:sz w:val="24"/>
              </w:rPr>
              <w:t xml:space="preserve"> to stay in a meeting and speak but not to vote</w:t>
            </w:r>
            <w:r>
              <w:rPr>
                <w:sz w:val="24"/>
              </w:rPr>
              <w:t>.</w:t>
            </w:r>
          </w:p>
        </w:tc>
      </w:tr>
    </w:tbl>
    <w:p w14:paraId="5D050DB8" w14:textId="77777777" w:rsidR="00951882" w:rsidRDefault="00951882">
      <w:pPr>
        <w:pStyle w:val="BodyText"/>
        <w:rPr>
          <w:rFonts w:ascii="Times New Roman"/>
          <w:sz w:val="20"/>
        </w:rPr>
      </w:pPr>
    </w:p>
    <w:p w14:paraId="25EC430E" w14:textId="77777777" w:rsidR="00951882" w:rsidRDefault="0046316A">
      <w:pPr>
        <w:pStyle w:val="Heading1"/>
        <w:spacing w:before="241"/>
      </w:pPr>
      <w:bookmarkStart w:id="3" w:name="Section_2_–_Legal_Framework"/>
      <w:bookmarkEnd w:id="3"/>
      <w:r>
        <w:t>Section 2 – Legal Framework</w:t>
      </w:r>
    </w:p>
    <w:p w14:paraId="73D5498C" w14:textId="77777777" w:rsidR="00951882" w:rsidRDefault="0046316A">
      <w:pPr>
        <w:pStyle w:val="BodyText"/>
        <w:spacing w:before="274" w:line="276" w:lineRule="auto"/>
        <w:ind w:left="300" w:right="326"/>
      </w:pPr>
      <w:r>
        <w:t xml:space="preserve">Section 31 of the Localism Act 2011 provides that, subject to Section 33, a member of a relevant authority with a disclosable pecuniary interest may </w:t>
      </w:r>
      <w:proofErr w:type="gramStart"/>
      <w:r>
        <w:t>not</w:t>
      </w:r>
      <w:proofErr w:type="gramEnd"/>
    </w:p>
    <w:p w14:paraId="58737B6A" w14:textId="77777777" w:rsidR="00951882" w:rsidRDefault="0046316A">
      <w:pPr>
        <w:pStyle w:val="BodyText"/>
        <w:spacing w:before="1" w:line="276" w:lineRule="auto"/>
        <w:ind w:left="300" w:right="592"/>
      </w:pPr>
      <w:r>
        <w:t>(a) participate, or participate further, in any discussion at a meeting, or (b) participate in any vote, or further vote, taken on the matter at the meeting.</w:t>
      </w:r>
    </w:p>
    <w:p w14:paraId="61527F93" w14:textId="77777777" w:rsidR="00951882" w:rsidRDefault="00951882">
      <w:pPr>
        <w:pStyle w:val="BodyText"/>
        <w:spacing w:before="5"/>
        <w:rPr>
          <w:sz w:val="27"/>
        </w:rPr>
      </w:pPr>
    </w:p>
    <w:p w14:paraId="34F52416" w14:textId="77777777" w:rsidR="00951882" w:rsidRDefault="0046316A">
      <w:pPr>
        <w:pStyle w:val="BodyText"/>
        <w:ind w:left="300"/>
      </w:pPr>
      <w:r>
        <w:t>Section 33 of the Localism Act 2011 provides that:</w:t>
      </w:r>
    </w:p>
    <w:p w14:paraId="3B76393B" w14:textId="77777777" w:rsidR="00951882" w:rsidRDefault="0046316A">
      <w:pPr>
        <w:pStyle w:val="ListParagraph"/>
        <w:numPr>
          <w:ilvl w:val="0"/>
          <w:numId w:val="4"/>
        </w:numPr>
        <w:tabs>
          <w:tab w:val="left" w:pos="660"/>
        </w:tabs>
        <w:spacing w:before="44" w:line="276" w:lineRule="auto"/>
        <w:ind w:right="155" w:firstLine="0"/>
        <w:rPr>
          <w:sz w:val="24"/>
        </w:rPr>
      </w:pPr>
      <w:r>
        <w:rPr>
          <w:sz w:val="24"/>
        </w:rPr>
        <w:t>A relevant authority may, on a written request made to the proper officer of the authority by a member of the authority, grant a dispensation relieving</w:t>
      </w:r>
      <w:r>
        <w:rPr>
          <w:spacing w:val="-32"/>
          <w:sz w:val="24"/>
        </w:rPr>
        <w:t xml:space="preserve"> </w:t>
      </w:r>
      <w:r>
        <w:rPr>
          <w:sz w:val="24"/>
        </w:rPr>
        <w:t>the</w:t>
      </w:r>
    </w:p>
    <w:p w14:paraId="417E7316" w14:textId="77777777" w:rsidR="00951882" w:rsidRDefault="00951882">
      <w:pPr>
        <w:spacing w:line="276" w:lineRule="auto"/>
        <w:rPr>
          <w:sz w:val="24"/>
        </w:rPr>
        <w:sectPr w:rsidR="00951882">
          <w:type w:val="continuous"/>
          <w:pgSz w:w="11910" w:h="16840"/>
          <w:pgMar w:top="1000" w:right="1680" w:bottom="280" w:left="1500" w:header="720" w:footer="720" w:gutter="0"/>
          <w:cols w:space="720"/>
        </w:sectPr>
      </w:pPr>
    </w:p>
    <w:p w14:paraId="2B11E6FD" w14:textId="77777777" w:rsidR="00951882" w:rsidRDefault="0046316A">
      <w:pPr>
        <w:pStyle w:val="BodyText"/>
        <w:spacing w:before="72" w:line="276" w:lineRule="auto"/>
        <w:ind w:left="300" w:right="139"/>
      </w:pPr>
      <w:r>
        <w:lastRenderedPageBreak/>
        <w:t xml:space="preserve">member from either or </w:t>
      </w:r>
      <w:proofErr w:type="gramStart"/>
      <w:r>
        <w:t>both of the restrictions</w:t>
      </w:r>
      <w:proofErr w:type="gramEnd"/>
      <w:r>
        <w:t xml:space="preserve"> in section 31 in cases described in the dispensation.</w:t>
      </w:r>
    </w:p>
    <w:p w14:paraId="68D74323" w14:textId="77777777" w:rsidR="00951882" w:rsidRDefault="00951882">
      <w:pPr>
        <w:pStyle w:val="BodyText"/>
        <w:spacing w:before="8"/>
        <w:rPr>
          <w:sz w:val="27"/>
        </w:rPr>
      </w:pPr>
    </w:p>
    <w:p w14:paraId="25377DA4" w14:textId="77777777" w:rsidR="00951882" w:rsidRDefault="0046316A">
      <w:pPr>
        <w:pStyle w:val="ListParagraph"/>
        <w:numPr>
          <w:ilvl w:val="0"/>
          <w:numId w:val="4"/>
        </w:numPr>
        <w:tabs>
          <w:tab w:val="left" w:pos="660"/>
        </w:tabs>
        <w:spacing w:line="276" w:lineRule="auto"/>
        <w:ind w:right="539" w:firstLine="0"/>
        <w:rPr>
          <w:sz w:val="24"/>
        </w:rPr>
      </w:pPr>
      <w:r>
        <w:rPr>
          <w:sz w:val="24"/>
        </w:rPr>
        <w:t>A relevant authority may grant a dispensation under this section only if, after having had regard to all relevant circumstances, the authority</w:t>
      </w:r>
      <w:r>
        <w:rPr>
          <w:spacing w:val="-19"/>
          <w:sz w:val="24"/>
        </w:rPr>
        <w:t xml:space="preserve"> </w:t>
      </w:r>
      <w:r>
        <w:rPr>
          <w:sz w:val="24"/>
        </w:rPr>
        <w:t>–</w:t>
      </w:r>
    </w:p>
    <w:p w14:paraId="3D253A2A" w14:textId="77777777" w:rsidR="00AA6864" w:rsidRDefault="00AA6864" w:rsidP="00AA6864">
      <w:pPr>
        <w:pStyle w:val="ListParagraph"/>
        <w:tabs>
          <w:tab w:val="left" w:pos="660"/>
        </w:tabs>
        <w:spacing w:line="276" w:lineRule="auto"/>
        <w:ind w:left="300" w:right="539"/>
        <w:rPr>
          <w:sz w:val="24"/>
        </w:rPr>
      </w:pPr>
    </w:p>
    <w:p w14:paraId="5CDBD3F1" w14:textId="77777777" w:rsidR="00951882" w:rsidRDefault="0046316A">
      <w:pPr>
        <w:pStyle w:val="ListParagraph"/>
        <w:numPr>
          <w:ilvl w:val="1"/>
          <w:numId w:val="4"/>
        </w:numPr>
        <w:tabs>
          <w:tab w:val="left" w:pos="1020"/>
        </w:tabs>
        <w:spacing w:line="276" w:lineRule="auto"/>
        <w:ind w:right="232"/>
        <w:rPr>
          <w:sz w:val="24"/>
        </w:rPr>
      </w:pPr>
      <w:r>
        <w:rPr>
          <w:sz w:val="24"/>
        </w:rPr>
        <w:t xml:space="preserve">considers that without the dispensation the number of persons prohibited by section 31 from participating in any </w:t>
      </w:r>
      <w:proofErr w:type="gramStart"/>
      <w:r>
        <w:rPr>
          <w:sz w:val="24"/>
        </w:rPr>
        <w:t>particular business</w:t>
      </w:r>
      <w:proofErr w:type="gramEnd"/>
      <w:r>
        <w:rPr>
          <w:sz w:val="24"/>
        </w:rPr>
        <w:t xml:space="preserve"> would be so great a proportion of the body transacting the business as to impede the transaction of the</w:t>
      </w:r>
      <w:r>
        <w:rPr>
          <w:spacing w:val="3"/>
          <w:sz w:val="24"/>
        </w:rPr>
        <w:t xml:space="preserve"> </w:t>
      </w:r>
      <w:r>
        <w:rPr>
          <w:sz w:val="24"/>
        </w:rPr>
        <w:t>business,</w:t>
      </w:r>
    </w:p>
    <w:p w14:paraId="785EBCCF" w14:textId="77777777" w:rsidR="00951882" w:rsidRDefault="0046316A">
      <w:pPr>
        <w:pStyle w:val="ListParagraph"/>
        <w:numPr>
          <w:ilvl w:val="1"/>
          <w:numId w:val="4"/>
        </w:numPr>
        <w:tabs>
          <w:tab w:val="left" w:pos="1020"/>
        </w:tabs>
        <w:spacing w:line="276" w:lineRule="auto"/>
        <w:ind w:right="328"/>
        <w:rPr>
          <w:sz w:val="24"/>
        </w:rPr>
      </w:pPr>
      <w:r>
        <w:rPr>
          <w:sz w:val="24"/>
        </w:rPr>
        <w:t xml:space="preserve">considers that without the dispensation the representation of different political groups on the body transacting any </w:t>
      </w:r>
      <w:proofErr w:type="gramStart"/>
      <w:r>
        <w:rPr>
          <w:sz w:val="24"/>
        </w:rPr>
        <w:t>particular business</w:t>
      </w:r>
      <w:proofErr w:type="gramEnd"/>
      <w:r>
        <w:rPr>
          <w:sz w:val="24"/>
        </w:rPr>
        <w:t xml:space="preserve"> would be so upset as to alter the likely outcome of any vote relating to the business,</w:t>
      </w:r>
    </w:p>
    <w:p w14:paraId="657E3F7E" w14:textId="77777777" w:rsidR="00951882" w:rsidRDefault="0046316A">
      <w:pPr>
        <w:pStyle w:val="ListParagraph"/>
        <w:numPr>
          <w:ilvl w:val="1"/>
          <w:numId w:val="4"/>
        </w:numPr>
        <w:tabs>
          <w:tab w:val="left" w:pos="1020"/>
        </w:tabs>
        <w:spacing w:line="276" w:lineRule="auto"/>
        <w:ind w:right="525"/>
        <w:rPr>
          <w:sz w:val="24"/>
        </w:rPr>
      </w:pPr>
      <w:r>
        <w:rPr>
          <w:sz w:val="24"/>
        </w:rPr>
        <w:t>considers that granting the dispensation is in the interest of persons living in the authority’s</w:t>
      </w:r>
      <w:r>
        <w:rPr>
          <w:spacing w:val="2"/>
          <w:sz w:val="24"/>
        </w:rPr>
        <w:t xml:space="preserve"> </w:t>
      </w:r>
      <w:r>
        <w:rPr>
          <w:sz w:val="24"/>
        </w:rPr>
        <w:t>area,</w:t>
      </w:r>
    </w:p>
    <w:p w14:paraId="3756AD00" w14:textId="77777777" w:rsidR="00951882" w:rsidRDefault="0046316A">
      <w:pPr>
        <w:pStyle w:val="ListParagraph"/>
        <w:numPr>
          <w:ilvl w:val="1"/>
          <w:numId w:val="4"/>
        </w:numPr>
        <w:tabs>
          <w:tab w:val="left" w:pos="1020"/>
        </w:tabs>
        <w:spacing w:line="276" w:lineRule="auto"/>
        <w:ind w:right="316"/>
        <w:rPr>
          <w:sz w:val="24"/>
        </w:rPr>
      </w:pPr>
      <w:r>
        <w:rPr>
          <w:sz w:val="24"/>
        </w:rPr>
        <w:t xml:space="preserve">if it is an authority to which Part 1A of the Local Government Act 2000 applies and is operating executive arrangements, considers that without the dispensation each member of the authority’s executive would be prohibited by section 31 from participating in any </w:t>
      </w:r>
      <w:proofErr w:type="gramStart"/>
      <w:r>
        <w:rPr>
          <w:sz w:val="24"/>
        </w:rPr>
        <w:t>particular business</w:t>
      </w:r>
      <w:proofErr w:type="gramEnd"/>
      <w:r>
        <w:rPr>
          <w:sz w:val="24"/>
        </w:rPr>
        <w:t xml:space="preserve"> to be transacted by the authority’s executive,</w:t>
      </w:r>
      <w:r>
        <w:rPr>
          <w:spacing w:val="-14"/>
          <w:sz w:val="24"/>
        </w:rPr>
        <w:t xml:space="preserve"> </w:t>
      </w:r>
      <w:r>
        <w:rPr>
          <w:sz w:val="24"/>
        </w:rPr>
        <w:t>or</w:t>
      </w:r>
    </w:p>
    <w:p w14:paraId="1337A5E1" w14:textId="77777777" w:rsidR="00951882" w:rsidRDefault="0046316A">
      <w:pPr>
        <w:pStyle w:val="ListParagraph"/>
        <w:numPr>
          <w:ilvl w:val="1"/>
          <w:numId w:val="4"/>
        </w:numPr>
        <w:tabs>
          <w:tab w:val="left" w:pos="1020"/>
        </w:tabs>
        <w:spacing w:line="276" w:lineRule="exact"/>
        <w:rPr>
          <w:sz w:val="24"/>
        </w:rPr>
      </w:pPr>
      <w:r>
        <w:rPr>
          <w:sz w:val="24"/>
        </w:rPr>
        <w:t>considers that it is otherwise appropriate to grant a</w:t>
      </w:r>
      <w:r>
        <w:rPr>
          <w:spacing w:val="-12"/>
          <w:sz w:val="24"/>
        </w:rPr>
        <w:t xml:space="preserve"> </w:t>
      </w:r>
      <w:r>
        <w:rPr>
          <w:sz w:val="24"/>
        </w:rPr>
        <w:t>dispensation.</w:t>
      </w:r>
    </w:p>
    <w:p w14:paraId="58E36A26" w14:textId="77777777" w:rsidR="00951882" w:rsidRDefault="00951882">
      <w:pPr>
        <w:pStyle w:val="BodyText"/>
        <w:spacing w:before="1"/>
        <w:rPr>
          <w:sz w:val="31"/>
        </w:rPr>
      </w:pPr>
    </w:p>
    <w:p w14:paraId="276C2399" w14:textId="77777777" w:rsidR="00951882" w:rsidRDefault="0046316A">
      <w:pPr>
        <w:pStyle w:val="ListParagraph"/>
        <w:numPr>
          <w:ilvl w:val="0"/>
          <w:numId w:val="4"/>
        </w:numPr>
        <w:tabs>
          <w:tab w:val="left" w:pos="660"/>
        </w:tabs>
        <w:spacing w:line="276" w:lineRule="auto"/>
        <w:ind w:right="338" w:firstLine="0"/>
        <w:rPr>
          <w:sz w:val="24"/>
        </w:rPr>
      </w:pPr>
      <w:r>
        <w:rPr>
          <w:sz w:val="24"/>
        </w:rPr>
        <w:t>A dispensation under this section must specify the period for which it has effect, which may not exceed four</w:t>
      </w:r>
      <w:r>
        <w:rPr>
          <w:spacing w:val="-3"/>
          <w:sz w:val="24"/>
        </w:rPr>
        <w:t xml:space="preserve"> </w:t>
      </w:r>
      <w:r>
        <w:rPr>
          <w:sz w:val="24"/>
        </w:rPr>
        <w:t>years.</w:t>
      </w:r>
    </w:p>
    <w:p w14:paraId="7A9E7EB8" w14:textId="77777777" w:rsidR="00951882" w:rsidRDefault="00951882">
      <w:pPr>
        <w:pStyle w:val="BodyText"/>
        <w:spacing w:before="1"/>
        <w:rPr>
          <w:sz w:val="21"/>
        </w:rPr>
      </w:pPr>
    </w:p>
    <w:p w14:paraId="2D704664" w14:textId="77777777" w:rsidR="00951882" w:rsidRDefault="0046316A">
      <w:pPr>
        <w:pStyle w:val="Heading1"/>
      </w:pPr>
      <w:r>
        <w:t>Part 3 - Application</w:t>
      </w:r>
    </w:p>
    <w:p w14:paraId="47493362" w14:textId="7381A99C" w:rsidR="00951882" w:rsidRDefault="0046316A">
      <w:pPr>
        <w:pStyle w:val="BodyText"/>
        <w:spacing w:before="235"/>
        <w:ind w:left="300" w:right="259"/>
      </w:pPr>
      <w:r>
        <w:t xml:space="preserve">In </w:t>
      </w:r>
      <w:r w:rsidR="00B12327">
        <w:t xml:space="preserve">January </w:t>
      </w:r>
      <w:r>
        <w:t xml:space="preserve">Councillor </w:t>
      </w:r>
      <w:r w:rsidR="00F82630">
        <w:t xml:space="preserve">Greek and Councillor Rabadia </w:t>
      </w:r>
      <w:proofErr w:type="gramStart"/>
      <w:r>
        <w:t xml:space="preserve">submitted </w:t>
      </w:r>
      <w:r w:rsidR="00F82630">
        <w:t xml:space="preserve"> a</w:t>
      </w:r>
      <w:proofErr w:type="gramEnd"/>
      <w:r w:rsidR="00F82630">
        <w:t xml:space="preserve"> </w:t>
      </w:r>
      <w:r>
        <w:t>request  for a dispensation</w:t>
      </w:r>
      <w:r w:rsidR="00F82630">
        <w:t xml:space="preserve"> so that they could stay and speak </w:t>
      </w:r>
      <w:r w:rsidR="009878B7">
        <w:t xml:space="preserve">for </w:t>
      </w:r>
      <w:r w:rsidR="000328FC">
        <w:t>decisions</w:t>
      </w:r>
      <w:r w:rsidR="009878B7">
        <w:t xml:space="preserve"> on HSDP. They are both directors of HSDP</w:t>
      </w:r>
      <w:r w:rsidR="006D7632">
        <w:t xml:space="preserve"> Nominee Ltd </w:t>
      </w:r>
      <w:r w:rsidR="00DE4C80">
        <w:t>company number 1347918</w:t>
      </w:r>
      <w:r w:rsidR="00266365">
        <w:t xml:space="preserve"> </w:t>
      </w:r>
      <w:proofErr w:type="gramStart"/>
      <w:r w:rsidR="00266365">
        <w:t xml:space="preserve">as </w:t>
      </w:r>
      <w:r w:rsidR="009878B7">
        <w:t xml:space="preserve"> council</w:t>
      </w:r>
      <w:proofErr w:type="gramEnd"/>
      <w:r w:rsidR="009878B7">
        <w:t xml:space="preserve"> </w:t>
      </w:r>
      <w:r w:rsidR="00B136F0">
        <w:t>representatives</w:t>
      </w:r>
      <w:r w:rsidR="00D71FB3">
        <w:t>.</w:t>
      </w:r>
      <w:r w:rsidR="00D71FB3" w:rsidRPr="00D71FB3">
        <w:t xml:space="preserve"> </w:t>
      </w:r>
      <w:r w:rsidR="00D71FB3">
        <w:t>They receive remuneration for being on the board</w:t>
      </w:r>
      <w:r w:rsidR="00B136F0">
        <w:t>. Staying in</w:t>
      </w:r>
      <w:r w:rsidR="00502FD1">
        <w:t xml:space="preserve"> a</w:t>
      </w:r>
      <w:r w:rsidR="00B136F0">
        <w:t xml:space="preserve"> meeting </w:t>
      </w:r>
      <w:r w:rsidR="00502FD1">
        <w:t xml:space="preserve">when </w:t>
      </w:r>
      <w:r w:rsidR="00F7595F">
        <w:t xml:space="preserve">matters involving HSDP </w:t>
      </w:r>
      <w:proofErr w:type="gramStart"/>
      <w:r w:rsidR="00F7595F">
        <w:t xml:space="preserve">are </w:t>
      </w:r>
      <w:r w:rsidR="00502FD1">
        <w:t xml:space="preserve"> being</w:t>
      </w:r>
      <w:proofErr w:type="gramEnd"/>
      <w:r w:rsidR="00502FD1">
        <w:t xml:space="preserve"> discussed </w:t>
      </w:r>
      <w:r w:rsidR="00B136F0">
        <w:t xml:space="preserve">would enable them to hear councillors points and </w:t>
      </w:r>
      <w:r w:rsidR="00FA7862">
        <w:t xml:space="preserve">would assist </w:t>
      </w:r>
      <w:r w:rsidR="004E01E3">
        <w:t xml:space="preserve">with their role on the </w:t>
      </w:r>
      <w:r w:rsidR="000328FC">
        <w:t>board.</w:t>
      </w:r>
      <w:r w:rsidR="009F059C">
        <w:t xml:space="preserve"> For this </w:t>
      </w:r>
      <w:proofErr w:type="gramStart"/>
      <w:r w:rsidR="009F059C">
        <w:t>reason</w:t>
      </w:r>
      <w:proofErr w:type="gramEnd"/>
      <w:r w:rsidR="009F059C">
        <w:t xml:space="preserve"> </w:t>
      </w:r>
      <w:r w:rsidR="00D71FB3">
        <w:t xml:space="preserve">it is considered that </w:t>
      </w:r>
      <w:r w:rsidR="00B11B5C">
        <w:t xml:space="preserve">granting the dispensation </w:t>
      </w:r>
      <w:r w:rsidR="004E01E3">
        <w:t xml:space="preserve">to allow them to stay in the meeting and speak but not to vote </w:t>
      </w:r>
      <w:r w:rsidR="00B11B5C">
        <w:t>is in the interest of persons living in the authority’s</w:t>
      </w:r>
      <w:r w:rsidR="00B11B5C">
        <w:rPr>
          <w:spacing w:val="2"/>
        </w:rPr>
        <w:t xml:space="preserve"> </w:t>
      </w:r>
      <w:r w:rsidR="00B11B5C">
        <w:t>area.</w:t>
      </w:r>
    </w:p>
    <w:p w14:paraId="2E233BBA" w14:textId="7C2A127E" w:rsidR="00951882" w:rsidRDefault="00951882" w:rsidP="00CF657A">
      <w:pPr>
        <w:pStyle w:val="Heading2"/>
        <w:spacing w:before="240"/>
      </w:pPr>
    </w:p>
    <w:p w14:paraId="18B72A23" w14:textId="77777777" w:rsidR="00951882" w:rsidRDefault="00951882">
      <w:pPr>
        <w:pStyle w:val="BodyText"/>
        <w:spacing w:before="10"/>
        <w:rPr>
          <w:sz w:val="20"/>
        </w:rPr>
      </w:pPr>
    </w:p>
    <w:p w14:paraId="45D832D8" w14:textId="77777777" w:rsidR="00951882" w:rsidRDefault="0046316A">
      <w:pPr>
        <w:pStyle w:val="Heading2"/>
      </w:pPr>
      <w:r>
        <w:t>Consideration</w:t>
      </w:r>
    </w:p>
    <w:p w14:paraId="12234FCE" w14:textId="77777777" w:rsidR="00951882" w:rsidRDefault="00951882">
      <w:pPr>
        <w:pStyle w:val="BodyText"/>
        <w:rPr>
          <w:b/>
        </w:rPr>
      </w:pPr>
    </w:p>
    <w:p w14:paraId="6FB94250" w14:textId="77777777" w:rsidR="00951882" w:rsidRDefault="0046316A">
      <w:pPr>
        <w:pStyle w:val="BodyText"/>
        <w:ind w:left="299" w:right="1406"/>
      </w:pPr>
      <w:r>
        <w:t>The Committee has been delegated by Council the power to grant dispensations under s33 Localism Act.</w:t>
      </w:r>
    </w:p>
    <w:p w14:paraId="1FFB4DCC" w14:textId="77777777" w:rsidR="00951882" w:rsidRDefault="00951882">
      <w:pPr>
        <w:pStyle w:val="BodyText"/>
        <w:spacing w:before="10"/>
        <w:rPr>
          <w:sz w:val="20"/>
        </w:rPr>
      </w:pPr>
    </w:p>
    <w:p w14:paraId="7F0E7ABB" w14:textId="58A49B0B" w:rsidR="00F25BEE" w:rsidRDefault="0046316A">
      <w:pPr>
        <w:pStyle w:val="BodyText"/>
        <w:ind w:left="299" w:right="406"/>
      </w:pPr>
      <w:r>
        <w:t>In the event that a dispensation is granted, the Councillor</w:t>
      </w:r>
      <w:r w:rsidR="007C2014">
        <w:t>s</w:t>
      </w:r>
      <w:r>
        <w:t xml:space="preserve"> will be required to declare their interest and dispensation when decisions involving </w:t>
      </w:r>
      <w:proofErr w:type="gramStart"/>
      <w:r w:rsidR="00F25BEE">
        <w:t>HSDP</w:t>
      </w:r>
      <w:proofErr w:type="gramEnd"/>
    </w:p>
    <w:p w14:paraId="06E44209" w14:textId="70613C2C" w:rsidR="00951882" w:rsidRDefault="0046316A">
      <w:pPr>
        <w:pStyle w:val="BodyText"/>
        <w:ind w:left="299" w:right="406"/>
      </w:pPr>
      <w:r>
        <w:t>are considered.</w:t>
      </w:r>
      <w:r w:rsidR="00FB4288">
        <w:t xml:space="preserve"> They could then remain in the meeting to speak and listen to points made by other </w:t>
      </w:r>
      <w:proofErr w:type="gramStart"/>
      <w:r w:rsidR="00FB4288">
        <w:t>councillors</w:t>
      </w:r>
      <w:proofErr w:type="gramEnd"/>
      <w:r w:rsidR="00BF2554">
        <w:t xml:space="preserve"> but they would not be able to vote.</w:t>
      </w:r>
    </w:p>
    <w:p w14:paraId="7DC60C36" w14:textId="77777777" w:rsidR="00951882" w:rsidRDefault="00951882">
      <w:pPr>
        <w:pStyle w:val="BodyText"/>
        <w:rPr>
          <w:sz w:val="26"/>
        </w:rPr>
      </w:pPr>
    </w:p>
    <w:p w14:paraId="1A888DD8" w14:textId="77777777" w:rsidR="00DF10EA" w:rsidRDefault="00DF10EA">
      <w:pPr>
        <w:pStyle w:val="Heading2"/>
        <w:spacing w:before="217"/>
      </w:pPr>
      <w:bookmarkStart w:id="4" w:name="Financial_Implications"/>
      <w:bookmarkEnd w:id="4"/>
    </w:p>
    <w:p w14:paraId="31CF759E" w14:textId="568DD746" w:rsidR="00951882" w:rsidRDefault="0046316A">
      <w:pPr>
        <w:pStyle w:val="Heading2"/>
        <w:spacing w:before="217"/>
      </w:pPr>
      <w:r>
        <w:lastRenderedPageBreak/>
        <w:t>Financial Implications</w:t>
      </w:r>
    </w:p>
    <w:p w14:paraId="7EE00DEE" w14:textId="77777777" w:rsidR="00951882" w:rsidRDefault="00951882">
      <w:pPr>
        <w:pStyle w:val="BodyText"/>
        <w:rPr>
          <w:b/>
        </w:rPr>
      </w:pPr>
    </w:p>
    <w:p w14:paraId="74835400" w14:textId="77777777" w:rsidR="00951882" w:rsidRDefault="0046316A">
      <w:pPr>
        <w:pStyle w:val="BodyText"/>
        <w:ind w:left="299"/>
      </w:pPr>
      <w:r>
        <w:t>There are no financial implications in determining this request.</w:t>
      </w:r>
    </w:p>
    <w:p w14:paraId="6D3A7D9B" w14:textId="77777777" w:rsidR="00951882" w:rsidRDefault="00951882">
      <w:pPr>
        <w:pStyle w:val="BodyText"/>
        <w:spacing w:before="3"/>
        <w:rPr>
          <w:sz w:val="28"/>
        </w:rPr>
      </w:pPr>
    </w:p>
    <w:p w14:paraId="77F19C04" w14:textId="77777777" w:rsidR="00951882" w:rsidRDefault="0046316A">
      <w:pPr>
        <w:pStyle w:val="Heading1"/>
      </w:pPr>
      <w:bookmarkStart w:id="5" w:name="Section_4_-_Statutory_Officer_Clearance"/>
      <w:bookmarkEnd w:id="5"/>
      <w:r>
        <w:t>Section 4 - Statutory Officer Clearance</w:t>
      </w:r>
    </w:p>
    <w:p w14:paraId="0AFB3746" w14:textId="77777777" w:rsidR="00951882" w:rsidRDefault="00951882">
      <w:pPr>
        <w:pStyle w:val="BodyText"/>
        <w:spacing w:before="12"/>
        <w:rPr>
          <w:rFonts w:ascii="Arial Black"/>
          <w:sz w:val="38"/>
        </w:rPr>
      </w:pPr>
    </w:p>
    <w:p w14:paraId="6284289B" w14:textId="5592DE72" w:rsidR="00951882" w:rsidRDefault="0046316A">
      <w:pPr>
        <w:pStyle w:val="Heading2"/>
      </w:pPr>
      <w:r>
        <w:t>Statutory Officer:</w:t>
      </w:r>
      <w:r w:rsidR="00A76058">
        <w:t xml:space="preserve"> </w:t>
      </w:r>
      <w:r w:rsidR="007C2014">
        <w:t>Sharon Daniels</w:t>
      </w:r>
    </w:p>
    <w:p w14:paraId="0316BAA6" w14:textId="77777777" w:rsidR="00951882" w:rsidRDefault="0046316A">
      <w:pPr>
        <w:pStyle w:val="BodyText"/>
        <w:ind w:left="300"/>
      </w:pPr>
      <w:r>
        <w:t>Signed by the Chief Financial Officer</w:t>
      </w:r>
    </w:p>
    <w:p w14:paraId="1A031AD8" w14:textId="77777777" w:rsidR="00951882" w:rsidRDefault="00951882">
      <w:pPr>
        <w:pStyle w:val="BodyText"/>
      </w:pPr>
    </w:p>
    <w:p w14:paraId="04298E37" w14:textId="101AAE6E" w:rsidR="00951882" w:rsidRDefault="0046316A">
      <w:pPr>
        <w:pStyle w:val="Heading2"/>
      </w:pPr>
      <w:r>
        <w:t>Date:</w:t>
      </w:r>
      <w:r w:rsidR="00A76058">
        <w:t xml:space="preserve"> </w:t>
      </w:r>
      <w:r w:rsidR="00DF10EA">
        <w:t>11.3.24</w:t>
      </w:r>
    </w:p>
    <w:p w14:paraId="494191DF" w14:textId="77777777" w:rsidR="00951882" w:rsidRDefault="00951882">
      <w:pPr>
        <w:pStyle w:val="BodyText"/>
        <w:rPr>
          <w:b/>
          <w:sz w:val="26"/>
        </w:rPr>
      </w:pPr>
    </w:p>
    <w:p w14:paraId="7385F332" w14:textId="057FE12D" w:rsidR="00951882" w:rsidRDefault="0046316A">
      <w:pPr>
        <w:spacing w:before="181"/>
        <w:ind w:left="300"/>
        <w:rPr>
          <w:b/>
          <w:sz w:val="24"/>
        </w:rPr>
      </w:pPr>
      <w:r>
        <w:rPr>
          <w:b/>
          <w:sz w:val="24"/>
        </w:rPr>
        <w:t>Statutory Officer:</w:t>
      </w:r>
      <w:r w:rsidR="003B4BC0">
        <w:rPr>
          <w:b/>
          <w:sz w:val="24"/>
        </w:rPr>
        <w:t xml:space="preserve"> </w:t>
      </w:r>
      <w:r w:rsidR="00DF10EA">
        <w:rPr>
          <w:b/>
          <w:sz w:val="24"/>
        </w:rPr>
        <w:t>Caroline Eccles</w:t>
      </w:r>
    </w:p>
    <w:p w14:paraId="74CFC789" w14:textId="16114F77" w:rsidR="00951882" w:rsidRDefault="0046316A">
      <w:pPr>
        <w:pStyle w:val="BodyText"/>
        <w:ind w:left="300"/>
      </w:pPr>
      <w:r>
        <w:t xml:space="preserve">Signed </w:t>
      </w:r>
      <w:r w:rsidR="00DF10EA">
        <w:t xml:space="preserve">on behalf of </w:t>
      </w:r>
      <w:r>
        <w:t>the Monitoring Officer</w:t>
      </w:r>
    </w:p>
    <w:p w14:paraId="6226D511" w14:textId="77777777" w:rsidR="00951882" w:rsidRDefault="00951882">
      <w:pPr>
        <w:pStyle w:val="BodyText"/>
      </w:pPr>
    </w:p>
    <w:p w14:paraId="06C8E896" w14:textId="0DF04B85" w:rsidR="00951882" w:rsidRDefault="0046316A">
      <w:pPr>
        <w:ind w:left="299"/>
        <w:rPr>
          <w:b/>
          <w:sz w:val="24"/>
        </w:rPr>
      </w:pPr>
      <w:r>
        <w:rPr>
          <w:b/>
          <w:sz w:val="24"/>
        </w:rPr>
        <w:t>Date:</w:t>
      </w:r>
      <w:r w:rsidR="003B4BC0">
        <w:rPr>
          <w:b/>
          <w:sz w:val="24"/>
        </w:rPr>
        <w:t xml:space="preserve"> </w:t>
      </w:r>
      <w:r w:rsidR="00DF10EA">
        <w:rPr>
          <w:b/>
          <w:sz w:val="24"/>
        </w:rPr>
        <w:t>11.3.24</w:t>
      </w:r>
    </w:p>
    <w:p w14:paraId="648F7C2F" w14:textId="77777777" w:rsidR="00951882" w:rsidRDefault="00951882">
      <w:pPr>
        <w:pStyle w:val="BodyText"/>
        <w:rPr>
          <w:b/>
          <w:sz w:val="26"/>
        </w:rPr>
      </w:pPr>
    </w:p>
    <w:p w14:paraId="6F9C1207" w14:textId="77777777" w:rsidR="00951882" w:rsidRDefault="0046316A">
      <w:pPr>
        <w:pStyle w:val="Heading1"/>
        <w:spacing w:before="185"/>
        <w:ind w:left="379"/>
      </w:pPr>
      <w:r>
        <w:t>Section 5 - Contact Details</w:t>
      </w:r>
    </w:p>
    <w:p w14:paraId="516C9984" w14:textId="77777777" w:rsidR="00951882" w:rsidRDefault="00951882">
      <w:pPr>
        <w:pStyle w:val="BodyText"/>
        <w:spacing w:before="12"/>
        <w:rPr>
          <w:rFonts w:ascii="Arial Black"/>
          <w:sz w:val="33"/>
        </w:rPr>
      </w:pPr>
    </w:p>
    <w:p w14:paraId="131039CC" w14:textId="3411533E" w:rsidR="00951882" w:rsidRDefault="0046316A" w:rsidP="00BF2554">
      <w:pPr>
        <w:pStyle w:val="BodyText"/>
        <w:ind w:left="299"/>
        <w:sectPr w:rsidR="00951882">
          <w:pgSz w:w="11910" w:h="16840"/>
          <w:pgMar w:top="920" w:right="1680" w:bottom="280" w:left="1500" w:header="720" w:footer="720" w:gutter="0"/>
          <w:cols w:space="720"/>
        </w:sectPr>
      </w:pPr>
      <w:r>
        <w:rPr>
          <w:b/>
        </w:rPr>
        <w:t xml:space="preserve">Contact: </w:t>
      </w:r>
      <w:r w:rsidR="007C2014">
        <w:t>Jessica Farmer</w:t>
      </w:r>
      <w:r>
        <w:t>, Proper Officer</w:t>
      </w:r>
    </w:p>
    <w:p w14:paraId="4F1D4F3C" w14:textId="0DB306B9" w:rsidR="00951882" w:rsidRDefault="00951882" w:rsidP="00DF10EA">
      <w:pPr>
        <w:pStyle w:val="Heading1"/>
        <w:spacing w:before="73"/>
        <w:ind w:left="0"/>
        <w:rPr>
          <w:sz w:val="16"/>
        </w:rPr>
      </w:pPr>
    </w:p>
    <w:sectPr w:rsidR="00951882" w:rsidSect="00DD752A">
      <w:pgSz w:w="11910" w:h="16840"/>
      <w:pgMar w:top="920" w:right="168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23B92"/>
    <w:multiLevelType w:val="hybridMultilevel"/>
    <w:tmpl w:val="1772DE52"/>
    <w:lvl w:ilvl="0" w:tplc="7D8AABB6">
      <w:start w:val="1"/>
      <w:numFmt w:val="decimal"/>
      <w:lvlText w:val="(%1)"/>
      <w:lvlJc w:val="left"/>
      <w:pPr>
        <w:ind w:left="300" w:hanging="360"/>
        <w:jc w:val="left"/>
      </w:pPr>
      <w:rPr>
        <w:rFonts w:ascii="Arial" w:eastAsia="Arial" w:hAnsi="Arial" w:cs="Arial" w:hint="default"/>
        <w:spacing w:val="-1"/>
        <w:w w:val="100"/>
        <w:sz w:val="24"/>
        <w:szCs w:val="24"/>
        <w:lang w:val="en-GB" w:eastAsia="en-US" w:bidi="ar-SA"/>
      </w:rPr>
    </w:lvl>
    <w:lvl w:ilvl="1" w:tplc="EB7C9164">
      <w:start w:val="1"/>
      <w:numFmt w:val="lowerLetter"/>
      <w:lvlText w:val="%2)"/>
      <w:lvlJc w:val="left"/>
      <w:pPr>
        <w:ind w:left="1020" w:hanging="360"/>
        <w:jc w:val="left"/>
      </w:pPr>
      <w:rPr>
        <w:rFonts w:ascii="Arial" w:eastAsia="Arial" w:hAnsi="Arial" w:cs="Arial" w:hint="default"/>
        <w:w w:val="100"/>
        <w:sz w:val="24"/>
        <w:szCs w:val="24"/>
        <w:lang w:val="en-GB" w:eastAsia="en-US" w:bidi="ar-SA"/>
      </w:rPr>
    </w:lvl>
    <w:lvl w:ilvl="2" w:tplc="2F2C0A9A">
      <w:numFmt w:val="bullet"/>
      <w:lvlText w:val="•"/>
      <w:lvlJc w:val="left"/>
      <w:pPr>
        <w:ind w:left="1876" w:hanging="360"/>
      </w:pPr>
      <w:rPr>
        <w:rFonts w:hint="default"/>
        <w:lang w:val="en-GB" w:eastAsia="en-US" w:bidi="ar-SA"/>
      </w:rPr>
    </w:lvl>
    <w:lvl w:ilvl="3" w:tplc="21587DE6">
      <w:numFmt w:val="bullet"/>
      <w:lvlText w:val="•"/>
      <w:lvlJc w:val="left"/>
      <w:pPr>
        <w:ind w:left="2733" w:hanging="360"/>
      </w:pPr>
      <w:rPr>
        <w:rFonts w:hint="default"/>
        <w:lang w:val="en-GB" w:eastAsia="en-US" w:bidi="ar-SA"/>
      </w:rPr>
    </w:lvl>
    <w:lvl w:ilvl="4" w:tplc="7806FF6C">
      <w:numFmt w:val="bullet"/>
      <w:lvlText w:val="•"/>
      <w:lvlJc w:val="left"/>
      <w:pPr>
        <w:ind w:left="3589" w:hanging="360"/>
      </w:pPr>
      <w:rPr>
        <w:rFonts w:hint="default"/>
        <w:lang w:val="en-GB" w:eastAsia="en-US" w:bidi="ar-SA"/>
      </w:rPr>
    </w:lvl>
    <w:lvl w:ilvl="5" w:tplc="828800C4">
      <w:numFmt w:val="bullet"/>
      <w:lvlText w:val="•"/>
      <w:lvlJc w:val="left"/>
      <w:pPr>
        <w:ind w:left="4446" w:hanging="360"/>
      </w:pPr>
      <w:rPr>
        <w:rFonts w:hint="default"/>
        <w:lang w:val="en-GB" w:eastAsia="en-US" w:bidi="ar-SA"/>
      </w:rPr>
    </w:lvl>
    <w:lvl w:ilvl="6" w:tplc="CF64EC7A">
      <w:numFmt w:val="bullet"/>
      <w:lvlText w:val="•"/>
      <w:lvlJc w:val="left"/>
      <w:pPr>
        <w:ind w:left="5302" w:hanging="360"/>
      </w:pPr>
      <w:rPr>
        <w:rFonts w:hint="default"/>
        <w:lang w:val="en-GB" w:eastAsia="en-US" w:bidi="ar-SA"/>
      </w:rPr>
    </w:lvl>
    <w:lvl w:ilvl="7" w:tplc="A7B6930A">
      <w:numFmt w:val="bullet"/>
      <w:lvlText w:val="•"/>
      <w:lvlJc w:val="left"/>
      <w:pPr>
        <w:ind w:left="6159" w:hanging="360"/>
      </w:pPr>
      <w:rPr>
        <w:rFonts w:hint="default"/>
        <w:lang w:val="en-GB" w:eastAsia="en-US" w:bidi="ar-SA"/>
      </w:rPr>
    </w:lvl>
    <w:lvl w:ilvl="8" w:tplc="4BD4678A">
      <w:numFmt w:val="bullet"/>
      <w:lvlText w:val="•"/>
      <w:lvlJc w:val="left"/>
      <w:pPr>
        <w:ind w:left="7015" w:hanging="360"/>
      </w:pPr>
      <w:rPr>
        <w:rFonts w:hint="default"/>
        <w:lang w:val="en-GB" w:eastAsia="en-US" w:bidi="ar-SA"/>
      </w:rPr>
    </w:lvl>
  </w:abstractNum>
  <w:abstractNum w:abstractNumId="1" w15:restartNumberingAfterBreak="0">
    <w:nsid w:val="3F891BF9"/>
    <w:multiLevelType w:val="hybridMultilevel"/>
    <w:tmpl w:val="C190528A"/>
    <w:lvl w:ilvl="0" w:tplc="E02A2F5E">
      <w:numFmt w:val="bullet"/>
      <w:lvlText w:val=""/>
      <w:lvlJc w:val="left"/>
      <w:pPr>
        <w:ind w:left="674" w:hanging="360"/>
      </w:pPr>
      <w:rPr>
        <w:rFonts w:ascii="Symbol" w:eastAsia="Symbol" w:hAnsi="Symbol" w:cs="Symbol" w:hint="default"/>
        <w:w w:val="99"/>
        <w:sz w:val="20"/>
        <w:szCs w:val="20"/>
        <w:lang w:val="en-GB" w:eastAsia="en-US" w:bidi="ar-SA"/>
      </w:rPr>
    </w:lvl>
    <w:lvl w:ilvl="1" w:tplc="874A935A">
      <w:numFmt w:val="bullet"/>
      <w:lvlText w:val="•"/>
      <w:lvlJc w:val="left"/>
      <w:pPr>
        <w:ind w:left="1484" w:hanging="360"/>
      </w:pPr>
      <w:rPr>
        <w:rFonts w:hint="default"/>
        <w:lang w:val="en-GB" w:eastAsia="en-US" w:bidi="ar-SA"/>
      </w:rPr>
    </w:lvl>
    <w:lvl w:ilvl="2" w:tplc="574462F8">
      <w:numFmt w:val="bullet"/>
      <w:lvlText w:val="•"/>
      <w:lvlJc w:val="left"/>
      <w:pPr>
        <w:ind w:left="2289" w:hanging="360"/>
      </w:pPr>
      <w:rPr>
        <w:rFonts w:hint="default"/>
        <w:lang w:val="en-GB" w:eastAsia="en-US" w:bidi="ar-SA"/>
      </w:rPr>
    </w:lvl>
    <w:lvl w:ilvl="3" w:tplc="5D9C9CF8">
      <w:numFmt w:val="bullet"/>
      <w:lvlText w:val="•"/>
      <w:lvlJc w:val="left"/>
      <w:pPr>
        <w:ind w:left="3094" w:hanging="360"/>
      </w:pPr>
      <w:rPr>
        <w:rFonts w:hint="default"/>
        <w:lang w:val="en-GB" w:eastAsia="en-US" w:bidi="ar-SA"/>
      </w:rPr>
    </w:lvl>
    <w:lvl w:ilvl="4" w:tplc="419205E8">
      <w:numFmt w:val="bullet"/>
      <w:lvlText w:val="•"/>
      <w:lvlJc w:val="left"/>
      <w:pPr>
        <w:ind w:left="3899" w:hanging="360"/>
      </w:pPr>
      <w:rPr>
        <w:rFonts w:hint="default"/>
        <w:lang w:val="en-GB" w:eastAsia="en-US" w:bidi="ar-SA"/>
      </w:rPr>
    </w:lvl>
    <w:lvl w:ilvl="5" w:tplc="E05CAC28">
      <w:numFmt w:val="bullet"/>
      <w:lvlText w:val="•"/>
      <w:lvlJc w:val="left"/>
      <w:pPr>
        <w:ind w:left="4704" w:hanging="360"/>
      </w:pPr>
      <w:rPr>
        <w:rFonts w:hint="default"/>
        <w:lang w:val="en-GB" w:eastAsia="en-US" w:bidi="ar-SA"/>
      </w:rPr>
    </w:lvl>
    <w:lvl w:ilvl="6" w:tplc="F12E34C2">
      <w:numFmt w:val="bullet"/>
      <w:lvlText w:val="•"/>
      <w:lvlJc w:val="left"/>
      <w:pPr>
        <w:ind w:left="5509" w:hanging="360"/>
      </w:pPr>
      <w:rPr>
        <w:rFonts w:hint="default"/>
        <w:lang w:val="en-GB" w:eastAsia="en-US" w:bidi="ar-SA"/>
      </w:rPr>
    </w:lvl>
    <w:lvl w:ilvl="7" w:tplc="7ABE2B2A">
      <w:numFmt w:val="bullet"/>
      <w:lvlText w:val="•"/>
      <w:lvlJc w:val="left"/>
      <w:pPr>
        <w:ind w:left="6314" w:hanging="360"/>
      </w:pPr>
      <w:rPr>
        <w:rFonts w:hint="default"/>
        <w:lang w:val="en-GB" w:eastAsia="en-US" w:bidi="ar-SA"/>
      </w:rPr>
    </w:lvl>
    <w:lvl w:ilvl="8" w:tplc="4D2885CC">
      <w:numFmt w:val="bullet"/>
      <w:lvlText w:val="•"/>
      <w:lvlJc w:val="left"/>
      <w:pPr>
        <w:ind w:left="7119" w:hanging="360"/>
      </w:pPr>
      <w:rPr>
        <w:rFonts w:hint="default"/>
        <w:lang w:val="en-GB" w:eastAsia="en-US" w:bidi="ar-SA"/>
      </w:rPr>
    </w:lvl>
  </w:abstractNum>
  <w:abstractNum w:abstractNumId="2" w15:restartNumberingAfterBreak="0">
    <w:nsid w:val="7159322A"/>
    <w:multiLevelType w:val="hybridMultilevel"/>
    <w:tmpl w:val="7618DE66"/>
    <w:lvl w:ilvl="0" w:tplc="A2681942">
      <w:start w:val="1"/>
      <w:numFmt w:val="decimal"/>
      <w:lvlText w:val="(%1)"/>
      <w:lvlJc w:val="left"/>
      <w:pPr>
        <w:ind w:left="300" w:hanging="360"/>
        <w:jc w:val="left"/>
      </w:pPr>
      <w:rPr>
        <w:rFonts w:ascii="Arial" w:eastAsia="Arial" w:hAnsi="Arial" w:cs="Arial" w:hint="default"/>
        <w:spacing w:val="-1"/>
        <w:w w:val="100"/>
        <w:sz w:val="24"/>
        <w:szCs w:val="24"/>
        <w:lang w:val="en-GB" w:eastAsia="en-US" w:bidi="ar-SA"/>
      </w:rPr>
    </w:lvl>
    <w:lvl w:ilvl="1" w:tplc="711CCBD8">
      <w:start w:val="1"/>
      <w:numFmt w:val="lowerLetter"/>
      <w:lvlText w:val="(%2)"/>
      <w:lvlJc w:val="left"/>
      <w:pPr>
        <w:ind w:left="1020" w:hanging="360"/>
        <w:jc w:val="left"/>
      </w:pPr>
      <w:rPr>
        <w:rFonts w:ascii="Arial" w:eastAsia="Arial" w:hAnsi="Arial" w:cs="Arial" w:hint="default"/>
        <w:spacing w:val="-1"/>
        <w:w w:val="100"/>
        <w:sz w:val="24"/>
        <w:szCs w:val="24"/>
        <w:lang w:val="en-GB" w:eastAsia="en-US" w:bidi="ar-SA"/>
      </w:rPr>
    </w:lvl>
    <w:lvl w:ilvl="2" w:tplc="D44AAE0C">
      <w:numFmt w:val="bullet"/>
      <w:lvlText w:val="•"/>
      <w:lvlJc w:val="left"/>
      <w:pPr>
        <w:ind w:left="1876" w:hanging="360"/>
      </w:pPr>
      <w:rPr>
        <w:rFonts w:hint="default"/>
        <w:lang w:val="en-GB" w:eastAsia="en-US" w:bidi="ar-SA"/>
      </w:rPr>
    </w:lvl>
    <w:lvl w:ilvl="3" w:tplc="7D28EB34">
      <w:numFmt w:val="bullet"/>
      <w:lvlText w:val="•"/>
      <w:lvlJc w:val="left"/>
      <w:pPr>
        <w:ind w:left="2733" w:hanging="360"/>
      </w:pPr>
      <w:rPr>
        <w:rFonts w:hint="default"/>
        <w:lang w:val="en-GB" w:eastAsia="en-US" w:bidi="ar-SA"/>
      </w:rPr>
    </w:lvl>
    <w:lvl w:ilvl="4" w:tplc="EB4C8474">
      <w:numFmt w:val="bullet"/>
      <w:lvlText w:val="•"/>
      <w:lvlJc w:val="left"/>
      <w:pPr>
        <w:ind w:left="3589" w:hanging="360"/>
      </w:pPr>
      <w:rPr>
        <w:rFonts w:hint="default"/>
        <w:lang w:val="en-GB" w:eastAsia="en-US" w:bidi="ar-SA"/>
      </w:rPr>
    </w:lvl>
    <w:lvl w:ilvl="5" w:tplc="BBF0756C">
      <w:numFmt w:val="bullet"/>
      <w:lvlText w:val="•"/>
      <w:lvlJc w:val="left"/>
      <w:pPr>
        <w:ind w:left="4446" w:hanging="360"/>
      </w:pPr>
      <w:rPr>
        <w:rFonts w:hint="default"/>
        <w:lang w:val="en-GB" w:eastAsia="en-US" w:bidi="ar-SA"/>
      </w:rPr>
    </w:lvl>
    <w:lvl w:ilvl="6" w:tplc="5238ABD0">
      <w:numFmt w:val="bullet"/>
      <w:lvlText w:val="•"/>
      <w:lvlJc w:val="left"/>
      <w:pPr>
        <w:ind w:left="5302" w:hanging="360"/>
      </w:pPr>
      <w:rPr>
        <w:rFonts w:hint="default"/>
        <w:lang w:val="en-GB" w:eastAsia="en-US" w:bidi="ar-SA"/>
      </w:rPr>
    </w:lvl>
    <w:lvl w:ilvl="7" w:tplc="F2D0BB1C">
      <w:numFmt w:val="bullet"/>
      <w:lvlText w:val="•"/>
      <w:lvlJc w:val="left"/>
      <w:pPr>
        <w:ind w:left="6159" w:hanging="360"/>
      </w:pPr>
      <w:rPr>
        <w:rFonts w:hint="default"/>
        <w:lang w:val="en-GB" w:eastAsia="en-US" w:bidi="ar-SA"/>
      </w:rPr>
    </w:lvl>
    <w:lvl w:ilvl="8" w:tplc="AAC033BE">
      <w:numFmt w:val="bullet"/>
      <w:lvlText w:val="•"/>
      <w:lvlJc w:val="left"/>
      <w:pPr>
        <w:ind w:left="7015" w:hanging="360"/>
      </w:pPr>
      <w:rPr>
        <w:rFonts w:hint="default"/>
        <w:lang w:val="en-GB" w:eastAsia="en-US" w:bidi="ar-SA"/>
      </w:rPr>
    </w:lvl>
  </w:abstractNum>
  <w:abstractNum w:abstractNumId="3" w15:restartNumberingAfterBreak="0">
    <w:nsid w:val="7A9B55B9"/>
    <w:multiLevelType w:val="hybridMultilevel"/>
    <w:tmpl w:val="D10C567A"/>
    <w:lvl w:ilvl="0" w:tplc="22ACA07E">
      <w:numFmt w:val="bullet"/>
      <w:lvlText w:val="-"/>
      <w:lvlJc w:val="left"/>
      <w:pPr>
        <w:ind w:left="762" w:hanging="99"/>
      </w:pPr>
      <w:rPr>
        <w:rFonts w:ascii="Arial" w:eastAsia="Arial" w:hAnsi="Arial" w:cs="Arial" w:hint="default"/>
        <w:color w:val="333399"/>
        <w:w w:val="100"/>
        <w:sz w:val="16"/>
        <w:szCs w:val="16"/>
        <w:lang w:val="en-GB" w:eastAsia="en-US" w:bidi="ar-SA"/>
      </w:rPr>
    </w:lvl>
    <w:lvl w:ilvl="1" w:tplc="7AE4DE3C">
      <w:numFmt w:val="bullet"/>
      <w:lvlText w:val="•"/>
      <w:lvlJc w:val="left"/>
      <w:pPr>
        <w:ind w:left="1790" w:hanging="99"/>
      </w:pPr>
      <w:rPr>
        <w:rFonts w:hint="default"/>
        <w:lang w:val="en-GB" w:eastAsia="en-US" w:bidi="ar-SA"/>
      </w:rPr>
    </w:lvl>
    <w:lvl w:ilvl="2" w:tplc="50DECD74">
      <w:numFmt w:val="bullet"/>
      <w:lvlText w:val="•"/>
      <w:lvlJc w:val="left"/>
      <w:pPr>
        <w:ind w:left="2820" w:hanging="99"/>
      </w:pPr>
      <w:rPr>
        <w:rFonts w:hint="default"/>
        <w:lang w:val="en-GB" w:eastAsia="en-US" w:bidi="ar-SA"/>
      </w:rPr>
    </w:lvl>
    <w:lvl w:ilvl="3" w:tplc="56BC006A">
      <w:numFmt w:val="bullet"/>
      <w:lvlText w:val="•"/>
      <w:lvlJc w:val="left"/>
      <w:pPr>
        <w:ind w:left="3851" w:hanging="99"/>
      </w:pPr>
      <w:rPr>
        <w:rFonts w:hint="default"/>
        <w:lang w:val="en-GB" w:eastAsia="en-US" w:bidi="ar-SA"/>
      </w:rPr>
    </w:lvl>
    <w:lvl w:ilvl="4" w:tplc="20409086">
      <w:numFmt w:val="bullet"/>
      <w:lvlText w:val="•"/>
      <w:lvlJc w:val="left"/>
      <w:pPr>
        <w:ind w:left="4881" w:hanging="99"/>
      </w:pPr>
      <w:rPr>
        <w:rFonts w:hint="default"/>
        <w:lang w:val="en-GB" w:eastAsia="en-US" w:bidi="ar-SA"/>
      </w:rPr>
    </w:lvl>
    <w:lvl w:ilvl="5" w:tplc="E19A4BB2">
      <w:numFmt w:val="bullet"/>
      <w:lvlText w:val="•"/>
      <w:lvlJc w:val="left"/>
      <w:pPr>
        <w:ind w:left="5912" w:hanging="99"/>
      </w:pPr>
      <w:rPr>
        <w:rFonts w:hint="default"/>
        <w:lang w:val="en-GB" w:eastAsia="en-US" w:bidi="ar-SA"/>
      </w:rPr>
    </w:lvl>
    <w:lvl w:ilvl="6" w:tplc="74685438">
      <w:numFmt w:val="bullet"/>
      <w:lvlText w:val="•"/>
      <w:lvlJc w:val="left"/>
      <w:pPr>
        <w:ind w:left="6942" w:hanging="99"/>
      </w:pPr>
      <w:rPr>
        <w:rFonts w:hint="default"/>
        <w:lang w:val="en-GB" w:eastAsia="en-US" w:bidi="ar-SA"/>
      </w:rPr>
    </w:lvl>
    <w:lvl w:ilvl="7" w:tplc="5A12E2A6">
      <w:numFmt w:val="bullet"/>
      <w:lvlText w:val="•"/>
      <w:lvlJc w:val="left"/>
      <w:pPr>
        <w:ind w:left="7972" w:hanging="99"/>
      </w:pPr>
      <w:rPr>
        <w:rFonts w:hint="default"/>
        <w:lang w:val="en-GB" w:eastAsia="en-US" w:bidi="ar-SA"/>
      </w:rPr>
    </w:lvl>
    <w:lvl w:ilvl="8" w:tplc="79089F9E">
      <w:numFmt w:val="bullet"/>
      <w:lvlText w:val="•"/>
      <w:lvlJc w:val="left"/>
      <w:pPr>
        <w:ind w:left="9003" w:hanging="99"/>
      </w:pPr>
      <w:rPr>
        <w:rFonts w:hint="default"/>
        <w:lang w:val="en-GB" w:eastAsia="en-US" w:bidi="ar-SA"/>
      </w:rPr>
    </w:lvl>
  </w:abstractNum>
  <w:num w:numId="1" w16cid:durableId="1518890408">
    <w:abstractNumId w:val="3"/>
  </w:num>
  <w:num w:numId="2" w16cid:durableId="1829705000">
    <w:abstractNumId w:val="2"/>
  </w:num>
  <w:num w:numId="3" w16cid:durableId="706952976">
    <w:abstractNumId w:val="1"/>
  </w:num>
  <w:num w:numId="4" w16cid:durableId="1958178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882"/>
    <w:rsid w:val="000328FC"/>
    <w:rsid w:val="00073977"/>
    <w:rsid w:val="0008647D"/>
    <w:rsid w:val="001F5138"/>
    <w:rsid w:val="00266365"/>
    <w:rsid w:val="002C28BD"/>
    <w:rsid w:val="002E2D1F"/>
    <w:rsid w:val="003B4BC0"/>
    <w:rsid w:val="0046316A"/>
    <w:rsid w:val="004E01E3"/>
    <w:rsid w:val="00502FD1"/>
    <w:rsid w:val="00516C82"/>
    <w:rsid w:val="005E483E"/>
    <w:rsid w:val="006D7632"/>
    <w:rsid w:val="007C0153"/>
    <w:rsid w:val="007C2014"/>
    <w:rsid w:val="00951882"/>
    <w:rsid w:val="009878B7"/>
    <w:rsid w:val="009F059C"/>
    <w:rsid w:val="00A1025B"/>
    <w:rsid w:val="00A27DB6"/>
    <w:rsid w:val="00A76058"/>
    <w:rsid w:val="00AA6864"/>
    <w:rsid w:val="00AB6A2F"/>
    <w:rsid w:val="00B11B5C"/>
    <w:rsid w:val="00B12327"/>
    <w:rsid w:val="00B136F0"/>
    <w:rsid w:val="00BF2554"/>
    <w:rsid w:val="00C26046"/>
    <w:rsid w:val="00CB1613"/>
    <w:rsid w:val="00CF657A"/>
    <w:rsid w:val="00D71FB3"/>
    <w:rsid w:val="00DB4464"/>
    <w:rsid w:val="00DD752A"/>
    <w:rsid w:val="00DE4C80"/>
    <w:rsid w:val="00DF0F11"/>
    <w:rsid w:val="00DF10EA"/>
    <w:rsid w:val="00E95843"/>
    <w:rsid w:val="00F174A1"/>
    <w:rsid w:val="00F25BEE"/>
    <w:rsid w:val="00F7595F"/>
    <w:rsid w:val="00F82630"/>
    <w:rsid w:val="00FA7862"/>
    <w:rsid w:val="00FB4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433A5"/>
  <w15:docId w15:val="{A67D5B1F-6147-4DE4-A3B1-86DA6D44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ind w:left="300"/>
      <w:outlineLvl w:val="0"/>
    </w:pPr>
    <w:rPr>
      <w:rFonts w:ascii="Arial Black" w:eastAsia="Arial Black" w:hAnsi="Arial Black" w:cs="Arial Black"/>
      <w:sz w:val="28"/>
      <w:szCs w:val="28"/>
    </w:rPr>
  </w:style>
  <w:style w:type="paragraph" w:styleId="Heading2">
    <w:name w:val="heading 2"/>
    <w:basedOn w:val="Normal"/>
    <w:uiPriority w:val="1"/>
    <w:qFormat/>
    <w:pPr>
      <w:ind w:left="3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0"/>
    </w:pPr>
  </w:style>
  <w:style w:type="paragraph" w:customStyle="1" w:styleId="TableParagraph">
    <w:name w:val="Table Paragraph"/>
    <w:basedOn w:val="Normal"/>
    <w:uiPriority w:val="1"/>
    <w:qFormat/>
    <w:pPr>
      <w:ind w:left="141"/>
    </w:pPr>
  </w:style>
  <w:style w:type="paragraph" w:styleId="BalloonText">
    <w:name w:val="Balloon Text"/>
    <w:basedOn w:val="Normal"/>
    <w:link w:val="BalloonTextChar"/>
    <w:uiPriority w:val="99"/>
    <w:semiHidden/>
    <w:unhideWhenUsed/>
    <w:rsid w:val="0046316A"/>
    <w:rPr>
      <w:rFonts w:ascii="Tahoma" w:hAnsi="Tahoma" w:cs="Tahoma"/>
      <w:sz w:val="16"/>
      <w:szCs w:val="16"/>
    </w:rPr>
  </w:style>
  <w:style w:type="character" w:customStyle="1" w:styleId="BalloonTextChar">
    <w:name w:val="Balloon Text Char"/>
    <w:basedOn w:val="DefaultParagraphFont"/>
    <w:link w:val="BalloonText"/>
    <w:uiPriority w:val="99"/>
    <w:semiHidden/>
    <w:rsid w:val="0046316A"/>
    <w:rPr>
      <w:rFonts w:ascii="Tahoma" w:eastAsia="Arial" w:hAnsi="Tahoma" w:cs="Tahoma"/>
      <w:sz w:val="16"/>
      <w:szCs w:val="16"/>
      <w:lang w:val="en-GB"/>
    </w:rPr>
  </w:style>
  <w:style w:type="character" w:styleId="CommentReference">
    <w:name w:val="annotation reference"/>
    <w:basedOn w:val="DefaultParagraphFont"/>
    <w:uiPriority w:val="99"/>
    <w:semiHidden/>
    <w:unhideWhenUsed/>
    <w:rsid w:val="001F5138"/>
    <w:rPr>
      <w:sz w:val="16"/>
      <w:szCs w:val="16"/>
    </w:rPr>
  </w:style>
  <w:style w:type="paragraph" w:styleId="CommentText">
    <w:name w:val="annotation text"/>
    <w:basedOn w:val="Normal"/>
    <w:link w:val="CommentTextChar"/>
    <w:uiPriority w:val="99"/>
    <w:unhideWhenUsed/>
    <w:rsid w:val="001F5138"/>
    <w:rPr>
      <w:sz w:val="20"/>
      <w:szCs w:val="20"/>
    </w:rPr>
  </w:style>
  <w:style w:type="character" w:customStyle="1" w:styleId="CommentTextChar">
    <w:name w:val="Comment Text Char"/>
    <w:basedOn w:val="DefaultParagraphFont"/>
    <w:link w:val="CommentText"/>
    <w:uiPriority w:val="99"/>
    <w:rsid w:val="001F5138"/>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1F5138"/>
    <w:rPr>
      <w:b/>
      <w:bCs/>
    </w:rPr>
  </w:style>
  <w:style w:type="character" w:customStyle="1" w:styleId="CommentSubjectChar">
    <w:name w:val="Comment Subject Char"/>
    <w:basedOn w:val="CommentTextChar"/>
    <w:link w:val="CommentSubject"/>
    <w:uiPriority w:val="99"/>
    <w:semiHidden/>
    <w:rsid w:val="001F5138"/>
    <w:rPr>
      <w:rFonts w:ascii="Arial" w:eastAsia="Arial"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590</Words>
  <Characters>3369</Characters>
  <Application>Microsoft Office Word</Application>
  <DocSecurity>0</DocSecurity>
  <Lines>28</Lines>
  <Paragraphs>7</Paragraphs>
  <ScaleCrop>false</ScaleCrop>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Arun Birah</cp:lastModifiedBy>
  <cp:revision>7</cp:revision>
  <dcterms:created xsi:type="dcterms:W3CDTF">2024-03-11T13:33:00Z</dcterms:created>
  <dcterms:modified xsi:type="dcterms:W3CDTF">2024-03-11T13:36:00Z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Creator">
    <vt:lpwstr>Acrobat PDFMaker 20 for Word</vt:lpwstr>
  </property>
  <property fmtid="{D5CDD505-2E9C-101B-9397-08002B2CF9AE}" pid="4" name="LastSaved">
    <vt:filetime>2021-01-05T00:00:00Z</vt:filetime>
  </property>
</Properties>
</file>